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1" w:rsidRPr="0004390A" w:rsidRDefault="00726AE5">
      <w:pPr>
        <w:rPr>
          <w:rFonts w:ascii="Times New Roman" w:hAnsi="Times New Roman" w:cs="Times New Roman"/>
          <w:color w:val="C00000"/>
          <w:sz w:val="48"/>
          <w:szCs w:val="48"/>
        </w:rPr>
      </w:pPr>
      <w:r w:rsidRPr="0004390A">
        <w:rPr>
          <w:rFonts w:ascii="Times New Roman" w:hAnsi="Times New Roman" w:cs="Times New Roman"/>
          <w:color w:val="C00000"/>
          <w:sz w:val="48"/>
          <w:szCs w:val="48"/>
        </w:rPr>
        <w:t>ATENÇÃO CALOUROS DO CURSO DE ADMINISTRAÇÃO PÚBLICA</w:t>
      </w:r>
    </w:p>
    <w:p w:rsidR="00D1231F" w:rsidRDefault="00D1231F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matrícula dos candidatos </w:t>
      </w:r>
      <w:r>
        <w:rPr>
          <w:rFonts w:ascii="Arial" w:hAnsi="Arial" w:cs="Arial"/>
          <w:b/>
          <w:bCs/>
        </w:rPr>
        <w:t xml:space="preserve">classificados em primeira chamada </w:t>
      </w:r>
      <w:r>
        <w:rPr>
          <w:rFonts w:ascii="Arial" w:hAnsi="Arial" w:cs="Arial"/>
        </w:rPr>
        <w:t>pelo Processo Seletivo Vestibular 2011/1 da UFSJ,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far-se-á nos locais, datas, horários indicados no  quadro abaixo, </w:t>
      </w:r>
      <w:r>
        <w:rPr>
          <w:rFonts w:ascii="Arial" w:hAnsi="Arial" w:cs="Arial"/>
          <w:b/>
          <w:bCs/>
        </w:rPr>
        <w:t>sob pena de o candidato perder o direito à sua vaga,</w:t>
      </w:r>
    </w:p>
    <w:p w:rsidR="00F11510" w:rsidRDefault="002F14F0" w:rsidP="002F14F0">
      <w:proofErr w:type="gramStart"/>
      <w:r>
        <w:rPr>
          <w:rFonts w:ascii="Arial" w:hAnsi="Arial" w:cs="Arial"/>
          <w:b/>
          <w:bCs/>
        </w:rPr>
        <w:t>caso</w:t>
      </w:r>
      <w:proofErr w:type="gramEnd"/>
      <w:r>
        <w:rPr>
          <w:rFonts w:ascii="Arial" w:hAnsi="Arial" w:cs="Arial"/>
          <w:b/>
          <w:bCs/>
        </w:rPr>
        <w:t xml:space="preserve"> não compareça no local, datas e horários indicados.</w:t>
      </w:r>
    </w:p>
    <w:p w:rsidR="002F14F0" w:rsidRPr="002F14F0" w:rsidRDefault="002F14F0" w:rsidP="002F14F0">
      <w:pPr>
        <w:tabs>
          <w:tab w:val="left" w:pos="5709"/>
        </w:tabs>
        <w:rPr>
          <w:b/>
        </w:rPr>
      </w:pPr>
      <w:r w:rsidRPr="002F14F0">
        <w:rPr>
          <w:b/>
        </w:rPr>
        <w:t xml:space="preserve">DATA DA MATRÍCULA REFERENTE À PRIMEIRA </w:t>
      </w:r>
      <w:proofErr w:type="gramStart"/>
      <w:r w:rsidRPr="002F14F0">
        <w:rPr>
          <w:b/>
        </w:rPr>
        <w:t>CHAMADA :</w:t>
      </w:r>
      <w:proofErr w:type="gramEnd"/>
      <w:r w:rsidRPr="002F14F0">
        <w:rPr>
          <w:b/>
        </w:rPr>
        <w:tab/>
      </w:r>
    </w:p>
    <w:tbl>
      <w:tblPr>
        <w:tblpPr w:leftFromText="141" w:rightFromText="141" w:vertAnchor="text" w:horzAnchor="margin" w:tblpXSpec="center" w:tblpY="240"/>
        <w:tblW w:w="11314" w:type="dxa"/>
        <w:tblCellMar>
          <w:left w:w="70" w:type="dxa"/>
          <w:right w:w="70" w:type="dxa"/>
        </w:tblCellMar>
        <w:tblLook w:val="04A0"/>
      </w:tblPr>
      <w:tblGrid>
        <w:gridCol w:w="1314"/>
        <w:gridCol w:w="3820"/>
        <w:gridCol w:w="5160"/>
        <w:gridCol w:w="1020"/>
      </w:tblGrid>
      <w:tr w:rsidR="00FF4261" w:rsidRPr="00FF4261" w:rsidTr="002F14F0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Curso/ cidade </w:t>
            </w:r>
            <w:proofErr w:type="spellStart"/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polo</w:t>
            </w:r>
            <w:proofErr w:type="spellEnd"/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Local de Matrícula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Horário 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DICON - Campus Santo Antônio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31/01/20111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Praça Frei Orlando, 170, Centro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para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São João del-Rei)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CEP 36307-352, São João </w:t>
            </w: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del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-Rei, MG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de Franca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2F14F0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2/2011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Champagnat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, 1808, Centro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para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Franca)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CEP 14400-320, Franca, 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de Serrana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14 às 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2F14F0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2/2011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Oficina Cultural Professora Yolanda Minto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Duzzi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18h 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para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Serrana)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Cruz, 1725,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Jd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CEP 14150-000, Serrana, 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de Votorantim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2F14F0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2/2011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Salas anexas à EMEIEF Helena Pereira de Moraes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para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Votorantim)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Av. Vereador Newton Vieira Soares, 657, Centro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CEP 18110-013, Votorantim, SP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de Sete Lagoas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2F14F0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4/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2/2011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Av. Pref. Alberto Moura, 1.111, Distrito Industrial/CDI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Para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Sete Lagoas)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CEP 35700-216, Sete Lagoas, MG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Pública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Polo de Apoio de Itamonte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2F14F0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4/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FF4261"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2/2011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(para candidatos classificados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Praça 17 de Dezembro, 20, Centro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F4261" w:rsidRPr="00FF4261" w:rsidTr="00FF426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para</w:t>
            </w:r>
            <w:proofErr w:type="gram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cidade-polo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Itamonte</w:t>
            </w:r>
            <w:proofErr w:type="spellEnd"/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CEP 37466-000, Itamonte, MG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61" w:rsidRPr="00FF4261" w:rsidRDefault="00FF4261" w:rsidP="00FF4261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2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F11510" w:rsidRDefault="00F11510"/>
    <w:p w:rsidR="00677B77" w:rsidRDefault="00677B77" w:rsidP="00677B7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</w:rPr>
      </w:pPr>
      <w:r>
        <w:t xml:space="preserve">Conforme </w:t>
      </w:r>
      <w:r>
        <w:rPr>
          <w:rFonts w:ascii="Arial" w:hAnsi="Arial" w:cs="Arial"/>
          <w:b/>
          <w:bCs/>
          <w:color w:val="000000"/>
        </w:rPr>
        <w:t>EDITAL Nº 03/10 DO PROCESSO SELETIVO VESTIBULAR 2011/1 PARA</w:t>
      </w:r>
    </w:p>
    <w:p w:rsidR="00677B77" w:rsidRDefault="00677B77" w:rsidP="00677B7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INGRESSO NOS CURSOS DE GRADUAÇÃO DA UFSJ – 1º SEMESTRE</w:t>
      </w:r>
    </w:p>
    <w:p w:rsidR="00677B77" w:rsidRPr="00677B77" w:rsidRDefault="00677B77" w:rsidP="00677B77">
      <w:pPr>
        <w:rPr>
          <w:rFonts w:ascii="Arial" w:hAnsi="Arial" w:cs="Arial"/>
        </w:rPr>
      </w:pPr>
      <w:r w:rsidRPr="00677B77">
        <w:rPr>
          <w:rFonts w:ascii="Arial" w:hAnsi="Arial" w:cs="Arial"/>
        </w:rPr>
        <w:t>(</w:t>
      </w:r>
      <w:r w:rsidRPr="00677B77">
        <w:rPr>
          <w:rFonts w:ascii="Arial" w:hAnsi="Arial" w:cs="Arial"/>
          <w:i/>
          <w:iCs/>
        </w:rPr>
        <w:t>Retificado em 22/09/2010</w:t>
      </w:r>
      <w:r w:rsidRPr="00677B77">
        <w:rPr>
          <w:rFonts w:ascii="Arial" w:hAnsi="Arial" w:cs="Arial"/>
        </w:rPr>
        <w:t xml:space="preserve">, </w:t>
      </w:r>
      <w:r w:rsidRPr="00677B77">
        <w:rPr>
          <w:rFonts w:ascii="Arial" w:hAnsi="Arial" w:cs="Arial"/>
          <w:i/>
          <w:iCs/>
        </w:rPr>
        <w:t>em 26/10/2010 e em 23/11/2010</w:t>
      </w:r>
      <w:r w:rsidRPr="00677B77">
        <w:rPr>
          <w:rFonts w:ascii="Arial" w:hAnsi="Arial" w:cs="Arial"/>
        </w:rPr>
        <w:t xml:space="preserve">). Segue abaixo os documentos necessários para efetivar a matrícula. 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 candidatos devem obter os documentos com a devida antecedência e sob sua exclusiva responsabilidade. Em nenhuma hipótese será aceita matrícula condicional.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 Para efetuar a matrícula inicial, o candidato classificado deverá apresentar 01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FOTOGRAFIA 3x4 recente e os seguintes documentos em duas vias, sendo uma a original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uma cópia </w:t>
      </w:r>
      <w:proofErr w:type="spellStart"/>
      <w:proofErr w:type="gramStart"/>
      <w:r>
        <w:rPr>
          <w:rFonts w:ascii="Arial" w:hAnsi="Arial" w:cs="Arial"/>
        </w:rPr>
        <w:t>xerox</w:t>
      </w:r>
      <w:proofErr w:type="spellEnd"/>
      <w:proofErr w:type="gramEnd"/>
      <w:r>
        <w:rPr>
          <w:rFonts w:ascii="Arial" w:hAnsi="Arial" w:cs="Arial"/>
        </w:rPr>
        <w:t xml:space="preserve"> não autenticada, ou cópia autenticada em cartório: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10.6.1. Certidão de Registro Civil (Nascimento ou Casamento) expedida a partir de 02 de agosto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2010;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10.6.2. Certificado de Conclusão e Histórico Escolar completo do Ensino Fundamental (1º Grau)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Ensino Médio (2º grau) ou de curso equivalente juntamente, com identificação da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Escola (normalmente o Certificado de Conclusão e o Histórico Escolar são impressos na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mesma folha);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10.6.3. Diploma de curso técnico, devidamente assinado (para os que concluíram, até a data da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matrícula, curso técnico cursado simultaneamente com o Ensino Médio);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10.6.4. Na falta do Histórico Escolar, o candidato poderá apresentar uma declaração de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conclusão do Ensino Fundamental e Médio, declarando que o candidato cursou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integralmente</w:t>
      </w:r>
      <w:proofErr w:type="gramEnd"/>
      <w:r>
        <w:rPr>
          <w:rFonts w:ascii="Arial" w:hAnsi="Arial" w:cs="Arial"/>
        </w:rPr>
        <w:t xml:space="preserve"> e concluiu todas as séries/anos do Ensino Fundamental e Médio em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instituição</w:t>
      </w:r>
      <w:proofErr w:type="gramEnd"/>
      <w:r>
        <w:rPr>
          <w:rFonts w:ascii="Arial" w:hAnsi="Arial" w:cs="Arial"/>
        </w:rPr>
        <w:t xml:space="preserve"> pública, assinada pelo diretor da escola, com data recente e identificação da</w:t>
      </w:r>
    </w:p>
    <w:p w:rsidR="002F14F0" w:rsidRPr="00D1231F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escola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Somente serão aceitas declarações que façam menção à data de expedição</w:t>
      </w:r>
      <w:r w:rsidR="00D123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respectivo histórico </w:t>
      </w:r>
      <w:proofErr w:type="gramStart"/>
      <w:r>
        <w:rPr>
          <w:rFonts w:ascii="Arial" w:hAnsi="Arial" w:cs="Arial"/>
          <w:b/>
          <w:bCs/>
        </w:rPr>
        <w:t>escolar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Cédula de Identidade;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10.6.5. Documento Oficial de Identificação;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10.6.6. CPF;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10.6.7. Título de Eleitor;</w:t>
      </w:r>
    </w:p>
    <w:p w:rsidR="002F14F0" w:rsidRPr="00D1231F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10.6.8. Certidão ou comprovante de quitação eleitoral;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10.6.9. Prova de quitação, atualizada, com as obrigações do Serviço Militar (para os candidatos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sexo masculino);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10.6.10. Declaração de equivalência ao Ensino Médio emitida por órgão competente da Secretaria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Estado de Educação (para portadores de documentação expedida por instituições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estrangeiras ou seminários) acompanhada de publicação no veículo oficial de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comunicação;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10.6.11. Visto temporário ou permanente, emitido pela Polícia Federal (para estudante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estrangeiro</w:t>
      </w:r>
      <w:proofErr w:type="gramEnd"/>
      <w:r>
        <w:rPr>
          <w:rFonts w:ascii="Arial" w:hAnsi="Arial" w:cs="Arial"/>
        </w:rPr>
        <w:t>);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10.6.12. Passaporte (para estudante estrangeiro).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10.7. Documentação expedida em língua estrangeira deverá ser autenticada pelo consulado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brasileiro no país que a expediu e ter a devida tradução por tradutor juramentado.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10.8. Os alunos da UFSJ aprovados em novo Processo Seletivo Vestibular não estão isentos da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apresentação dos mesmos documentos exigidos dos demais candidatos aprovados no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subitem 10.6.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10.9. Os candidatos graduados em curso superior, também têm que apresentar o Histórico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Escolar/Certificado de Conclusão do Ensino Fundamental e Médio e, conforme o caso,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Diploma de Curso Técnico.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10.10. No caso de matrícula por procuração, além dos documentos acima mencionados,</w:t>
      </w:r>
      <w:r w:rsidR="00D123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apresentar</w:t>
      </w:r>
      <w:proofErr w:type="gramEnd"/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bCs/>
        </w:rPr>
        <w:t xml:space="preserve">procuração com firma reconhecida </w:t>
      </w:r>
      <w:r>
        <w:rPr>
          <w:rFonts w:ascii="Arial" w:hAnsi="Arial" w:cs="Arial"/>
        </w:rPr>
        <w:t>(modelo em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www.vestibular.ufsj.edu.br/vestibular_20111.</w:t>
      </w:r>
      <w:proofErr w:type="spellStart"/>
      <w:proofErr w:type="gramEnd"/>
      <w:r>
        <w:rPr>
          <w:rFonts w:ascii="Arial" w:hAnsi="Arial" w:cs="Arial"/>
        </w:rPr>
        <w:t>php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e documento de identidade do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procurador</w:t>
      </w:r>
      <w:proofErr w:type="gramEnd"/>
      <w:r>
        <w:rPr>
          <w:rFonts w:ascii="Arial" w:hAnsi="Arial" w:cs="Arial"/>
        </w:rPr>
        <w:t>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10.11. </w:t>
      </w:r>
      <w:r>
        <w:rPr>
          <w:rFonts w:ascii="Arial" w:hAnsi="Arial" w:cs="Arial"/>
          <w:b/>
          <w:bCs/>
        </w:rPr>
        <w:t>Não serão realizadas convocações por telefone, e-mail, fax ou telegrama</w:t>
      </w:r>
      <w:r>
        <w:rPr>
          <w:rFonts w:ascii="Arial" w:hAnsi="Arial" w:cs="Arial"/>
        </w:rPr>
        <w:t>. O candidato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deverá, sob sua exclusiva responsabilidade, acompanhar o calendário de matrículas e as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chamadas, bem como Editais Complementares divulgadas pela UFSJ no endereço</w:t>
      </w:r>
      <w:r w:rsidR="00D123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www.vestibular.ufsj.edu.br/vestibular_20111.</w:t>
      </w:r>
      <w:proofErr w:type="spellStart"/>
      <w:proofErr w:type="gramEnd"/>
      <w:r>
        <w:rPr>
          <w:rFonts w:ascii="Arial" w:hAnsi="Arial" w:cs="Arial"/>
        </w:rPr>
        <w:t>php</w:t>
      </w:r>
      <w:proofErr w:type="spellEnd"/>
      <w:r>
        <w:rPr>
          <w:rFonts w:ascii="Arial" w:hAnsi="Arial" w:cs="Arial"/>
        </w:rPr>
        <w:t>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10.12. Se o candidato, após efetuar sua matrícula, desistir de estudar na UFSJ, deverá enviar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ofício solicitando cancelamento da mesma, em tempo hábil, para que se possa chamar outro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 classificado para ocupar a vaga.</w:t>
      </w:r>
    </w:p>
    <w:p w:rsidR="002F14F0" w:rsidRDefault="002F14F0" w:rsidP="002F14F0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10.13. O aluno da UFSJ aprovado em novo Processo Seletivo Vestibular deverá requerer</w:t>
      </w:r>
      <w:r w:rsidR="00D1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cancelamento de sua matrícula anterior antes de efetuar uma nova.</w:t>
      </w:r>
    </w:p>
    <w:p w:rsidR="00F11510" w:rsidRPr="00D1231F" w:rsidRDefault="002F14F0" w:rsidP="00D1231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10.14. </w:t>
      </w:r>
      <w:r>
        <w:rPr>
          <w:rFonts w:ascii="Arial" w:hAnsi="Arial" w:cs="Arial"/>
          <w:b/>
          <w:bCs/>
        </w:rPr>
        <w:t>Perderá o direito à vaga o candidato que não comparecer no local, data e horários</w:t>
      </w:r>
      <w:r w:rsidR="00D123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indicados para matrícula ou deixar de apresentar, no prazo fixado para a matrícula,</w:t>
      </w:r>
      <w:r w:rsidR="00D123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quaisquer dos documentos mencionados no subitem 10.5, respeitadas ainda as</w:t>
      </w:r>
      <w:r w:rsidR="00D123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condições previstas no subitem 10.10,</w:t>
      </w:r>
    </w:p>
    <w:p w:rsidR="00F11510" w:rsidRDefault="00F11510"/>
    <w:sectPr w:rsidR="00F11510" w:rsidSect="00DD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26AE5"/>
    <w:rsid w:val="0003668B"/>
    <w:rsid w:val="0004390A"/>
    <w:rsid w:val="00197CD1"/>
    <w:rsid w:val="00292C0B"/>
    <w:rsid w:val="002B3D02"/>
    <w:rsid w:val="002F14F0"/>
    <w:rsid w:val="003D6481"/>
    <w:rsid w:val="00407F0F"/>
    <w:rsid w:val="004A2BC0"/>
    <w:rsid w:val="004B04E9"/>
    <w:rsid w:val="005E2261"/>
    <w:rsid w:val="00677B77"/>
    <w:rsid w:val="00726AE5"/>
    <w:rsid w:val="00970E6C"/>
    <w:rsid w:val="00D1231F"/>
    <w:rsid w:val="00DD2621"/>
    <w:rsid w:val="00F11510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2B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04E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B0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26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8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8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8602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2866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74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2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</dc:creator>
  <cp:lastModifiedBy>NEAD0019</cp:lastModifiedBy>
  <cp:revision>3</cp:revision>
  <dcterms:created xsi:type="dcterms:W3CDTF">2011-01-20T11:41:00Z</dcterms:created>
  <dcterms:modified xsi:type="dcterms:W3CDTF">2011-01-20T12:00:00Z</dcterms:modified>
</cp:coreProperties>
</file>